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F3" w:rsidRPr="00445F5B" w:rsidRDefault="006024F3" w:rsidP="006024F3">
      <w:pPr>
        <w:spacing w:line="360" w:lineRule="auto"/>
        <w:jc w:val="center"/>
        <w:rPr>
          <w:b/>
          <w:sz w:val="28"/>
          <w:szCs w:val="28"/>
        </w:rPr>
      </w:pPr>
      <w:r w:rsidRPr="00445F5B">
        <w:rPr>
          <w:b/>
          <w:sz w:val="28"/>
          <w:szCs w:val="28"/>
        </w:rPr>
        <w:t>Содержание</w:t>
      </w:r>
    </w:p>
    <w:p w:rsidR="006024F3" w:rsidRPr="00445F5B" w:rsidRDefault="006024F3" w:rsidP="006024F3">
      <w:pPr>
        <w:spacing w:line="360" w:lineRule="auto"/>
        <w:jc w:val="center"/>
        <w:rPr>
          <w:b/>
          <w:sz w:val="28"/>
          <w:szCs w:val="28"/>
        </w:rPr>
      </w:pPr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r w:rsidRPr="00445F5B">
        <w:rPr>
          <w:szCs w:val="28"/>
        </w:rPr>
        <w:fldChar w:fldCharType="begin"/>
      </w:r>
      <w:r w:rsidRPr="00445F5B">
        <w:rPr>
          <w:szCs w:val="28"/>
        </w:rPr>
        <w:instrText xml:space="preserve"> TOC \o "1-2" \h \z \u </w:instrText>
      </w:r>
      <w:r w:rsidRPr="00445F5B">
        <w:rPr>
          <w:szCs w:val="28"/>
        </w:rPr>
        <w:fldChar w:fldCharType="separate"/>
      </w:r>
      <w:hyperlink w:anchor="_Toc285228792" w:history="1">
        <w:r w:rsidRPr="00B03551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793" w:history="1">
        <w:r w:rsidRPr="00B03551">
          <w:rPr>
            <w:rStyle w:val="a3"/>
            <w:noProof/>
          </w:rPr>
          <w:t>Глава 1. Теоретические основы аудита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794" w:history="1">
        <w:r w:rsidRPr="00B03551">
          <w:rPr>
            <w:rStyle w:val="a3"/>
            <w:noProof/>
          </w:rPr>
          <w:t>1.1. Понятие и оценка основных средств, порядок начисления амортизации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795" w:history="1">
        <w:r w:rsidRPr="00B03551">
          <w:rPr>
            <w:rStyle w:val="a3"/>
            <w:noProof/>
          </w:rPr>
          <w:t>1.2. Цели, задачи и нормативно-правовое регулирование аудита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796" w:history="1">
        <w:r w:rsidRPr="00B03551">
          <w:rPr>
            <w:rStyle w:val="a3"/>
            <w:noProof/>
          </w:rPr>
          <w:t>1.3. Методика  аудита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797" w:history="1">
        <w:r w:rsidRPr="00B03551">
          <w:rPr>
            <w:rStyle w:val="a3"/>
            <w:noProof/>
          </w:rPr>
          <w:t>Глава 2. Подготовка к проведению аудита основных средств на примере АНО «»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798" w:history="1">
        <w:r w:rsidRPr="00B03551">
          <w:rPr>
            <w:rStyle w:val="a3"/>
            <w:noProof/>
          </w:rPr>
          <w:t>2.1. Сбор общих сведений об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799" w:history="1">
        <w:r w:rsidRPr="00B03551">
          <w:rPr>
            <w:rStyle w:val="a3"/>
            <w:noProof/>
          </w:rPr>
          <w:t>2.2. Оценка состояния бухгалтерского учета и внутреннего контроля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800" w:history="1">
        <w:r w:rsidRPr="00B03551">
          <w:rPr>
            <w:rStyle w:val="a3"/>
            <w:noProof/>
          </w:rPr>
          <w:t>2.3. Составление общего плана и программы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801" w:history="1">
        <w:r w:rsidRPr="00B03551">
          <w:rPr>
            <w:rStyle w:val="a3"/>
            <w:noProof/>
          </w:rPr>
          <w:t>Глава 3. Аудит основных средств на примере АНО «»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802" w:history="1">
        <w:r w:rsidRPr="00B03551">
          <w:rPr>
            <w:rStyle w:val="a3"/>
            <w:noProof/>
          </w:rPr>
          <w:t>3.1. Проведение аудиторской проверки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803" w:history="1">
        <w:r w:rsidRPr="00B03551">
          <w:rPr>
            <w:rStyle w:val="a3"/>
            <w:noProof/>
          </w:rPr>
          <w:t>3.2. Обобщение материалов аудиторской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2"/>
        <w:tabs>
          <w:tab w:val="right" w:leader="dot" w:pos="9628"/>
        </w:tabs>
        <w:rPr>
          <w:noProof/>
          <w:sz w:val="24"/>
        </w:rPr>
      </w:pPr>
      <w:hyperlink w:anchor="_Toc285228804" w:history="1">
        <w:r w:rsidRPr="00B03551">
          <w:rPr>
            <w:rStyle w:val="a3"/>
            <w:noProof/>
          </w:rPr>
          <w:t>3.3. Подготовка заключения по итогам аудиторской проверки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805" w:history="1">
        <w:r w:rsidRPr="00B03551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806" w:history="1">
        <w:r w:rsidRPr="00B03551"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024F3" w:rsidRDefault="006024F3" w:rsidP="006024F3">
      <w:pPr>
        <w:pStyle w:val="11"/>
        <w:tabs>
          <w:tab w:val="right" w:leader="dot" w:pos="9628"/>
        </w:tabs>
        <w:rPr>
          <w:noProof/>
          <w:sz w:val="24"/>
        </w:rPr>
      </w:pPr>
      <w:hyperlink w:anchor="_Toc285228807" w:history="1">
        <w:r w:rsidRPr="00B03551">
          <w:rPr>
            <w:rStyle w:val="a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_Toc285228807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  <w:r w:rsidRPr="00445F5B">
        <w:rPr>
          <w:sz w:val="28"/>
          <w:szCs w:val="28"/>
        </w:rPr>
        <w:fldChar w:fldCharType="end"/>
      </w: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pStyle w:val="1"/>
      </w:pPr>
      <w:bookmarkStart w:id="0" w:name="_Toc285228792"/>
      <w:r w:rsidRPr="00445F5B">
        <w:lastRenderedPageBreak/>
        <w:t>Введение</w:t>
      </w:r>
      <w:bookmarkEnd w:id="0"/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 xml:space="preserve">          </w:t>
      </w:r>
      <w:r>
        <w:rPr>
          <w:sz w:val="28"/>
        </w:rPr>
        <w:t>Важной</w:t>
      </w:r>
      <w:r w:rsidRPr="00445F5B">
        <w:rPr>
          <w:sz w:val="28"/>
        </w:rPr>
        <w:t xml:space="preserve"> особенностью основных средств является их многократное и</w:t>
      </w:r>
      <w:r w:rsidRPr="00445F5B">
        <w:rPr>
          <w:sz w:val="28"/>
        </w:rPr>
        <w:t>с</w:t>
      </w:r>
      <w:r w:rsidRPr="00445F5B">
        <w:rPr>
          <w:sz w:val="28"/>
        </w:rPr>
        <w:t>пользование в процессе производства, сохранение первоначального внешнего вида (формы) в течение длительного периода. Под воздействием произво</w:t>
      </w:r>
      <w:r w:rsidRPr="00445F5B">
        <w:rPr>
          <w:sz w:val="28"/>
        </w:rPr>
        <w:t>д</w:t>
      </w:r>
      <w:r w:rsidRPr="00445F5B">
        <w:rPr>
          <w:sz w:val="28"/>
        </w:rPr>
        <w:t xml:space="preserve">ственного процесса и внешней среды они </w:t>
      </w:r>
      <w:r>
        <w:rPr>
          <w:sz w:val="28"/>
        </w:rPr>
        <w:t>из</w:t>
      </w:r>
      <w:r w:rsidRPr="00445F5B">
        <w:rPr>
          <w:sz w:val="28"/>
        </w:rPr>
        <w:t>нашиваются постепенно и перен</w:t>
      </w:r>
      <w:r w:rsidRPr="00445F5B">
        <w:rPr>
          <w:sz w:val="28"/>
        </w:rPr>
        <w:t>о</w:t>
      </w:r>
      <w:r w:rsidRPr="00445F5B">
        <w:rPr>
          <w:sz w:val="28"/>
        </w:rPr>
        <w:t>сят свою первоначальную стоимость на затраты производства в течение срока их службы путем начисления износа (амортизации) по у</w:t>
      </w:r>
      <w:r w:rsidRPr="00445F5B">
        <w:rPr>
          <w:sz w:val="28"/>
        </w:rPr>
        <w:t>с</w:t>
      </w:r>
      <w:r w:rsidRPr="00445F5B">
        <w:rPr>
          <w:sz w:val="28"/>
        </w:rPr>
        <w:t>тановленным нормам</w:t>
      </w:r>
    </w:p>
    <w:p w:rsidR="006024F3" w:rsidRPr="00445F5B" w:rsidRDefault="006024F3" w:rsidP="006024F3">
      <w:pPr>
        <w:spacing w:line="360" w:lineRule="auto"/>
        <w:jc w:val="both"/>
        <w:rPr>
          <w:spacing w:val="-2"/>
          <w:sz w:val="28"/>
        </w:rPr>
      </w:pPr>
      <w:r w:rsidRPr="00445F5B">
        <w:rPr>
          <w:bCs/>
          <w:sz w:val="28"/>
          <w:szCs w:val="28"/>
        </w:rPr>
        <w:t xml:space="preserve">         Формирование рыночных отношений в стране заставляет по-новому п</w:t>
      </w:r>
      <w:r w:rsidRPr="00445F5B">
        <w:rPr>
          <w:bCs/>
          <w:sz w:val="28"/>
          <w:szCs w:val="28"/>
        </w:rPr>
        <w:t>о</w:t>
      </w:r>
      <w:r w:rsidRPr="00445F5B">
        <w:rPr>
          <w:bCs/>
          <w:sz w:val="28"/>
          <w:szCs w:val="28"/>
        </w:rPr>
        <w:t>дойти к постановке учета на отдельных участках финансово-хозяйственной д</w:t>
      </w:r>
      <w:r w:rsidRPr="00445F5B">
        <w:rPr>
          <w:bCs/>
          <w:sz w:val="28"/>
          <w:szCs w:val="28"/>
        </w:rPr>
        <w:t>е</w:t>
      </w:r>
      <w:r w:rsidRPr="00445F5B">
        <w:rPr>
          <w:bCs/>
          <w:sz w:val="28"/>
          <w:szCs w:val="28"/>
        </w:rPr>
        <w:t>ятельности предприятий и организаций, в том числе учета основных средств и их налогообложения.</w:t>
      </w:r>
      <w:r w:rsidRPr="00445F5B">
        <w:rPr>
          <w:spacing w:val="-1"/>
          <w:sz w:val="28"/>
          <w:szCs w:val="28"/>
        </w:rPr>
        <w:t xml:space="preserve"> Основные средства составляют главную часть активов о</w:t>
      </w:r>
      <w:r w:rsidRPr="00445F5B">
        <w:rPr>
          <w:spacing w:val="-1"/>
          <w:sz w:val="28"/>
          <w:szCs w:val="28"/>
        </w:rPr>
        <w:t>р</w:t>
      </w:r>
      <w:r w:rsidRPr="00445F5B">
        <w:rPr>
          <w:spacing w:val="-1"/>
          <w:sz w:val="28"/>
          <w:szCs w:val="28"/>
        </w:rPr>
        <w:t xml:space="preserve">ганизации, поэтому </w:t>
      </w:r>
      <w:r w:rsidRPr="00445F5B">
        <w:rPr>
          <w:sz w:val="28"/>
          <w:szCs w:val="28"/>
        </w:rPr>
        <w:t>информация об основных средствах и суммах начисле</w:t>
      </w:r>
      <w:r w:rsidRPr="00445F5B">
        <w:rPr>
          <w:sz w:val="28"/>
          <w:szCs w:val="28"/>
        </w:rPr>
        <w:t>н</w:t>
      </w:r>
      <w:r w:rsidRPr="00445F5B">
        <w:rPr>
          <w:sz w:val="28"/>
          <w:szCs w:val="28"/>
        </w:rPr>
        <w:t xml:space="preserve">ной амортизации имеет </w:t>
      </w:r>
      <w:r w:rsidRPr="00445F5B">
        <w:rPr>
          <w:spacing w:val="-3"/>
          <w:sz w:val="28"/>
          <w:szCs w:val="28"/>
        </w:rPr>
        <w:t>большое значение для характеристики финансового полож</w:t>
      </w:r>
      <w:r w:rsidRPr="00445F5B">
        <w:rPr>
          <w:spacing w:val="-3"/>
          <w:sz w:val="28"/>
          <w:szCs w:val="28"/>
        </w:rPr>
        <w:t>е</w:t>
      </w:r>
      <w:r w:rsidRPr="00445F5B">
        <w:rPr>
          <w:spacing w:val="-3"/>
          <w:sz w:val="28"/>
          <w:szCs w:val="28"/>
        </w:rPr>
        <w:t xml:space="preserve">ния и результатов </w:t>
      </w:r>
      <w:r w:rsidRPr="00445F5B">
        <w:rPr>
          <w:spacing w:val="-4"/>
          <w:sz w:val="28"/>
          <w:szCs w:val="28"/>
        </w:rPr>
        <w:t>деятельности организации.</w:t>
      </w:r>
      <w:r w:rsidRPr="00445F5B">
        <w:rPr>
          <w:spacing w:val="-2"/>
          <w:sz w:val="28"/>
        </w:rPr>
        <w:t xml:space="preserve">         </w:t>
      </w:r>
    </w:p>
    <w:p w:rsidR="006024F3" w:rsidRPr="00445F5B" w:rsidRDefault="006024F3" w:rsidP="006024F3">
      <w:pPr>
        <w:spacing w:line="360" w:lineRule="auto"/>
        <w:jc w:val="both"/>
        <w:rPr>
          <w:spacing w:val="-4"/>
          <w:sz w:val="28"/>
        </w:rPr>
      </w:pPr>
      <w:r w:rsidRPr="00445F5B">
        <w:rPr>
          <w:spacing w:val="-2"/>
          <w:sz w:val="28"/>
        </w:rPr>
        <w:t xml:space="preserve">         Имея представление о роли каждого элемента основных средств, в производственном процессе, физич</w:t>
      </w:r>
      <w:r w:rsidRPr="00445F5B">
        <w:rPr>
          <w:spacing w:val="-2"/>
          <w:sz w:val="28"/>
        </w:rPr>
        <w:t>е</w:t>
      </w:r>
      <w:r w:rsidRPr="00445F5B">
        <w:rPr>
          <w:spacing w:val="-2"/>
          <w:sz w:val="28"/>
        </w:rPr>
        <w:t xml:space="preserve">ском и моральном их износе, факторах, </w:t>
      </w:r>
      <w:r w:rsidRPr="00445F5B">
        <w:rPr>
          <w:sz w:val="28"/>
        </w:rPr>
        <w:t>влияющих на использование осно</w:t>
      </w:r>
      <w:r w:rsidRPr="00445F5B">
        <w:rPr>
          <w:sz w:val="28"/>
        </w:rPr>
        <w:t>в</w:t>
      </w:r>
      <w:r w:rsidRPr="00445F5B">
        <w:rPr>
          <w:sz w:val="28"/>
        </w:rPr>
        <w:t>ных средств, можно выявить направления, при помощи которых повышается эффективность использования основных средств и прои</w:t>
      </w:r>
      <w:r w:rsidRPr="00445F5B">
        <w:rPr>
          <w:sz w:val="28"/>
        </w:rPr>
        <w:t>з</w:t>
      </w:r>
      <w:r w:rsidRPr="00445F5B">
        <w:rPr>
          <w:sz w:val="28"/>
        </w:rPr>
        <w:t xml:space="preserve">водственных мощностей предприятия, обеспечивается снижение издержек </w:t>
      </w:r>
      <w:r w:rsidRPr="00445F5B">
        <w:rPr>
          <w:spacing w:val="-4"/>
          <w:sz w:val="28"/>
        </w:rPr>
        <w:t>производства и рост произв</w:t>
      </w:r>
      <w:r w:rsidRPr="00445F5B">
        <w:rPr>
          <w:spacing w:val="-4"/>
          <w:sz w:val="28"/>
        </w:rPr>
        <w:t>о</w:t>
      </w:r>
      <w:r w:rsidRPr="00445F5B">
        <w:rPr>
          <w:spacing w:val="-4"/>
          <w:sz w:val="28"/>
        </w:rPr>
        <w:t>дительности труда.</w:t>
      </w:r>
    </w:p>
    <w:p w:rsidR="006024F3" w:rsidRPr="00445F5B" w:rsidRDefault="006024F3" w:rsidP="006024F3">
      <w:pPr>
        <w:spacing w:line="360" w:lineRule="auto"/>
        <w:jc w:val="both"/>
        <w:rPr>
          <w:sz w:val="28"/>
          <w:szCs w:val="28"/>
        </w:rPr>
      </w:pPr>
      <w:r w:rsidRPr="00445F5B">
        <w:rPr>
          <w:sz w:val="28"/>
          <w:szCs w:val="28"/>
        </w:rPr>
        <w:t xml:space="preserve">         Информация о наличии, состоянии и движении основных средств, отр</w:t>
      </w:r>
      <w:r w:rsidRPr="00445F5B">
        <w:rPr>
          <w:sz w:val="28"/>
          <w:szCs w:val="28"/>
        </w:rPr>
        <w:t>а</w:t>
      </w:r>
      <w:r w:rsidRPr="00445F5B">
        <w:rPr>
          <w:sz w:val="28"/>
          <w:szCs w:val="28"/>
        </w:rPr>
        <w:t>жающаяся в бухгалтерском учете и отчетности, анализируется различными польз</w:t>
      </w:r>
      <w:r w:rsidRPr="00445F5B">
        <w:rPr>
          <w:sz w:val="28"/>
          <w:szCs w:val="28"/>
        </w:rPr>
        <w:t>о</w:t>
      </w:r>
      <w:r w:rsidRPr="00445F5B">
        <w:rPr>
          <w:sz w:val="28"/>
          <w:szCs w:val="28"/>
        </w:rPr>
        <w:t>вателями этой отчетности. Достоверность рассматриваемой  финансовой (бу</w:t>
      </w:r>
      <w:r w:rsidRPr="00445F5B">
        <w:rPr>
          <w:sz w:val="28"/>
          <w:szCs w:val="28"/>
        </w:rPr>
        <w:t>х</w:t>
      </w:r>
      <w:r w:rsidRPr="00445F5B">
        <w:rPr>
          <w:sz w:val="28"/>
          <w:szCs w:val="28"/>
        </w:rPr>
        <w:t>галтерской) отчетности  особенно важна для внешних пользователей. Для подтверждения достоверности отчетности организации привлекают независимую аудиторскую проверку.  Одним из в</w:t>
      </w:r>
      <w:r w:rsidRPr="00445F5B">
        <w:rPr>
          <w:sz w:val="28"/>
          <w:szCs w:val="28"/>
        </w:rPr>
        <w:t>е</w:t>
      </w:r>
      <w:r w:rsidRPr="00445F5B">
        <w:rPr>
          <w:sz w:val="28"/>
          <w:szCs w:val="28"/>
        </w:rPr>
        <w:t xml:space="preserve">дущих направлений аудита является проверка </w:t>
      </w:r>
      <w:proofErr w:type="gramStart"/>
      <w:r w:rsidRPr="00445F5B">
        <w:rPr>
          <w:sz w:val="28"/>
          <w:szCs w:val="28"/>
        </w:rPr>
        <w:t xml:space="preserve">соответствия порядка учета </w:t>
      </w:r>
      <w:r w:rsidRPr="00445F5B">
        <w:rPr>
          <w:sz w:val="28"/>
          <w:szCs w:val="28"/>
        </w:rPr>
        <w:lastRenderedPageBreak/>
        <w:t>дв</w:t>
      </w:r>
      <w:r w:rsidRPr="00445F5B">
        <w:rPr>
          <w:sz w:val="28"/>
          <w:szCs w:val="28"/>
        </w:rPr>
        <w:t>и</w:t>
      </w:r>
      <w:r w:rsidRPr="00445F5B">
        <w:rPr>
          <w:sz w:val="28"/>
          <w:szCs w:val="28"/>
        </w:rPr>
        <w:t>жения основных средств</w:t>
      </w:r>
      <w:proofErr w:type="gramEnd"/>
      <w:r w:rsidRPr="00445F5B">
        <w:rPr>
          <w:sz w:val="28"/>
          <w:szCs w:val="28"/>
        </w:rPr>
        <w:t xml:space="preserve"> в аудируемой организации действующим законодательным и нормативным документам, р</w:t>
      </w:r>
      <w:r w:rsidRPr="00445F5B">
        <w:rPr>
          <w:sz w:val="28"/>
          <w:szCs w:val="28"/>
        </w:rPr>
        <w:t>е</w:t>
      </w:r>
      <w:r w:rsidRPr="00445F5B">
        <w:rPr>
          <w:sz w:val="28"/>
          <w:szCs w:val="28"/>
        </w:rPr>
        <w:t>гулирующим бухгалтерский учет основных средств. В ходе аудиторской пр</w:t>
      </w:r>
      <w:r w:rsidRPr="00445F5B">
        <w:rPr>
          <w:sz w:val="28"/>
          <w:szCs w:val="28"/>
        </w:rPr>
        <w:t>о</w:t>
      </w:r>
      <w:r w:rsidRPr="00445F5B">
        <w:rPr>
          <w:sz w:val="28"/>
          <w:szCs w:val="28"/>
        </w:rPr>
        <w:t>верки особое внимание уделяется вопросам соблюдения действующего налог</w:t>
      </w:r>
      <w:r w:rsidRPr="00445F5B">
        <w:rPr>
          <w:sz w:val="28"/>
          <w:szCs w:val="28"/>
        </w:rPr>
        <w:t>о</w:t>
      </w:r>
      <w:r w:rsidRPr="00445F5B">
        <w:rPr>
          <w:sz w:val="28"/>
          <w:szCs w:val="28"/>
        </w:rPr>
        <w:t>вого законодательства. В связи с вышесказанным,  вопрос разработки  и сове</w:t>
      </w:r>
      <w:r w:rsidRPr="00445F5B">
        <w:rPr>
          <w:sz w:val="28"/>
          <w:szCs w:val="28"/>
        </w:rPr>
        <w:t>р</w:t>
      </w:r>
      <w:r w:rsidRPr="00445F5B">
        <w:rPr>
          <w:sz w:val="28"/>
          <w:szCs w:val="28"/>
        </w:rPr>
        <w:t>шенствования методики проведения аудита основных средств весьма актуален  в настоящее вр</w:t>
      </w:r>
      <w:r w:rsidRPr="00445F5B">
        <w:rPr>
          <w:sz w:val="28"/>
          <w:szCs w:val="28"/>
        </w:rPr>
        <w:t>е</w:t>
      </w:r>
      <w:r w:rsidRPr="00445F5B">
        <w:rPr>
          <w:sz w:val="28"/>
          <w:szCs w:val="28"/>
        </w:rPr>
        <w:t xml:space="preserve">мя. </w:t>
      </w:r>
    </w:p>
    <w:p w:rsidR="006024F3" w:rsidRPr="00445F5B" w:rsidRDefault="006024F3" w:rsidP="006024F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5F5B">
        <w:rPr>
          <w:sz w:val="28"/>
          <w:szCs w:val="28"/>
        </w:rPr>
        <w:t xml:space="preserve">         Целью данной работы является изучение методики аудита основных средств, определение направлений ее совершенствования в условиях конкретного предприятия. Для достижения поставленной цели необход</w:t>
      </w:r>
      <w:r w:rsidRPr="00445F5B">
        <w:rPr>
          <w:sz w:val="28"/>
          <w:szCs w:val="28"/>
        </w:rPr>
        <w:t>и</w:t>
      </w:r>
      <w:r w:rsidRPr="00445F5B">
        <w:rPr>
          <w:sz w:val="28"/>
          <w:szCs w:val="28"/>
        </w:rPr>
        <w:t xml:space="preserve">мо решить ряд задач: </w:t>
      </w:r>
    </w:p>
    <w:p w:rsidR="006024F3" w:rsidRPr="00445F5B" w:rsidRDefault="006024F3" w:rsidP="006024F3">
      <w:pPr>
        <w:pStyle w:val="20"/>
        <w:ind w:left="0"/>
        <w:jc w:val="both"/>
        <w:rPr>
          <w:b w:val="0"/>
          <w:szCs w:val="28"/>
        </w:rPr>
      </w:pPr>
      <w:r w:rsidRPr="00445F5B">
        <w:rPr>
          <w:b w:val="0"/>
          <w:szCs w:val="28"/>
        </w:rPr>
        <w:t>-изучить понятие основных средств и их амортизации;</w:t>
      </w:r>
    </w:p>
    <w:p w:rsidR="006024F3" w:rsidRPr="00445F5B" w:rsidRDefault="006024F3" w:rsidP="006024F3">
      <w:pPr>
        <w:pStyle w:val="20"/>
        <w:ind w:left="0"/>
        <w:jc w:val="both"/>
        <w:rPr>
          <w:b w:val="0"/>
          <w:szCs w:val="28"/>
        </w:rPr>
      </w:pPr>
      <w:r w:rsidRPr="00445F5B">
        <w:rPr>
          <w:b w:val="0"/>
          <w:szCs w:val="28"/>
        </w:rPr>
        <w:t>-определить способы оценки основных средств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>-ознакомиться с методами, принципами и конкретными приемами аудита о</w:t>
      </w:r>
      <w:r w:rsidRPr="00445F5B">
        <w:rPr>
          <w:bCs/>
          <w:sz w:val="28"/>
          <w:szCs w:val="28"/>
        </w:rPr>
        <w:t>с</w:t>
      </w:r>
      <w:r w:rsidRPr="00445F5B">
        <w:rPr>
          <w:bCs/>
          <w:sz w:val="28"/>
          <w:szCs w:val="28"/>
        </w:rPr>
        <w:t>новных средств;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>- провести планирование аудиторской проверки основных средств;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>-разработать методику аудита основных средств в условиях конкретного пре</w:t>
      </w:r>
      <w:r w:rsidRPr="00445F5B">
        <w:rPr>
          <w:bCs/>
          <w:sz w:val="28"/>
          <w:szCs w:val="28"/>
        </w:rPr>
        <w:t>д</w:t>
      </w:r>
      <w:r w:rsidRPr="00445F5B">
        <w:rPr>
          <w:bCs/>
          <w:sz w:val="28"/>
          <w:szCs w:val="28"/>
        </w:rPr>
        <w:t>приятия;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>- подготовить аудиторское  заключение о результатах проверки основных средств;</w:t>
      </w:r>
    </w:p>
    <w:p w:rsidR="006024F3" w:rsidRPr="00445F5B" w:rsidRDefault="006024F3" w:rsidP="006024F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45F5B">
        <w:rPr>
          <w:sz w:val="28"/>
          <w:szCs w:val="28"/>
        </w:rPr>
        <w:t>- дать рекомендации проверяемому предприятию по совершенствованию бу</w:t>
      </w:r>
      <w:r w:rsidRPr="00445F5B">
        <w:rPr>
          <w:sz w:val="28"/>
          <w:szCs w:val="28"/>
        </w:rPr>
        <w:t>х</w:t>
      </w:r>
      <w:r w:rsidRPr="00445F5B">
        <w:rPr>
          <w:sz w:val="28"/>
          <w:szCs w:val="28"/>
        </w:rPr>
        <w:t>галтерского учета основных средств.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 xml:space="preserve">         Объектом исследования в данной работе является автономная некомме</w:t>
      </w:r>
      <w:r w:rsidRPr="00445F5B">
        <w:rPr>
          <w:bCs/>
          <w:sz w:val="28"/>
          <w:szCs w:val="28"/>
        </w:rPr>
        <w:t>р</w:t>
      </w:r>
      <w:r w:rsidRPr="00445F5B">
        <w:rPr>
          <w:bCs/>
          <w:sz w:val="28"/>
          <w:szCs w:val="28"/>
        </w:rPr>
        <w:t xml:space="preserve">ческая организация </w:t>
      </w:r>
      <w:r w:rsidRPr="00445F5B">
        <w:rPr>
          <w:sz w:val="28"/>
          <w:szCs w:val="28"/>
        </w:rPr>
        <w:t>«</w:t>
      </w:r>
      <w:r w:rsidRPr="00445F5B">
        <w:rPr>
          <w:snapToGrid w:val="0"/>
          <w:sz w:val="28"/>
        </w:rPr>
        <w:t>Международный центр обучения+</w:t>
      </w:r>
      <w:r w:rsidRPr="00445F5B">
        <w:rPr>
          <w:sz w:val="28"/>
          <w:szCs w:val="28"/>
        </w:rPr>
        <w:t>»</w:t>
      </w:r>
      <w:r w:rsidRPr="00445F5B">
        <w:rPr>
          <w:bCs/>
          <w:sz w:val="28"/>
          <w:szCs w:val="28"/>
        </w:rPr>
        <w:t>. Основной вид де</w:t>
      </w:r>
      <w:r w:rsidRPr="00445F5B">
        <w:rPr>
          <w:bCs/>
          <w:sz w:val="28"/>
          <w:szCs w:val="28"/>
        </w:rPr>
        <w:t>я</w:t>
      </w:r>
      <w:r w:rsidRPr="00445F5B">
        <w:rPr>
          <w:bCs/>
          <w:sz w:val="28"/>
          <w:szCs w:val="28"/>
        </w:rPr>
        <w:t xml:space="preserve">тельности организации  – оказание образовательных услуг. </w:t>
      </w:r>
    </w:p>
    <w:p w:rsidR="006024F3" w:rsidRPr="00445F5B" w:rsidRDefault="006024F3" w:rsidP="006024F3">
      <w:pPr>
        <w:spacing w:line="360" w:lineRule="auto"/>
        <w:jc w:val="both"/>
        <w:rPr>
          <w:bCs/>
          <w:sz w:val="28"/>
          <w:szCs w:val="28"/>
        </w:rPr>
      </w:pPr>
      <w:r w:rsidRPr="00445F5B">
        <w:rPr>
          <w:bCs/>
          <w:sz w:val="28"/>
          <w:szCs w:val="28"/>
        </w:rPr>
        <w:t xml:space="preserve">         Предмет исследования -  экономические отношения, связанные с налич</w:t>
      </w:r>
      <w:r w:rsidRPr="00445F5B">
        <w:rPr>
          <w:bCs/>
          <w:sz w:val="28"/>
          <w:szCs w:val="28"/>
        </w:rPr>
        <w:t>и</w:t>
      </w:r>
      <w:r w:rsidRPr="00445F5B">
        <w:rPr>
          <w:bCs/>
          <w:sz w:val="28"/>
          <w:szCs w:val="28"/>
        </w:rPr>
        <w:t>ем, состоянием, движением и использованием основных фондов на данном предприятии.</w:t>
      </w:r>
    </w:p>
    <w:p w:rsidR="006024F3" w:rsidRPr="00445F5B" w:rsidRDefault="006024F3" w:rsidP="006024F3">
      <w:pPr>
        <w:spacing w:line="360" w:lineRule="auto"/>
        <w:ind w:firstLine="488"/>
        <w:jc w:val="both"/>
        <w:rPr>
          <w:snapToGrid w:val="0"/>
          <w:sz w:val="28"/>
        </w:rPr>
      </w:pPr>
      <w:r w:rsidRPr="00445F5B">
        <w:rPr>
          <w:snapToGrid w:val="0"/>
          <w:sz w:val="28"/>
        </w:rPr>
        <w:t>Для написания данной работы  в качестве нормативно – правовой базы и</w:t>
      </w:r>
      <w:r w:rsidRPr="00445F5B">
        <w:rPr>
          <w:snapToGrid w:val="0"/>
          <w:sz w:val="28"/>
        </w:rPr>
        <w:t>с</w:t>
      </w:r>
      <w:r w:rsidRPr="00445F5B">
        <w:rPr>
          <w:snapToGrid w:val="0"/>
          <w:sz w:val="28"/>
        </w:rPr>
        <w:t xml:space="preserve">пользовались законы РФ, постановления Правительства РФ, нормативные </w:t>
      </w:r>
      <w:r w:rsidRPr="00445F5B">
        <w:rPr>
          <w:snapToGrid w:val="0"/>
          <w:sz w:val="28"/>
        </w:rPr>
        <w:lastRenderedPageBreak/>
        <w:t xml:space="preserve">акты  Министерства Финансов РФ и Федеральной налоговой службы по вопросам бухгалтерского учета и аудита основных средств. </w:t>
      </w:r>
    </w:p>
    <w:p w:rsidR="006024F3" w:rsidRPr="00445F5B" w:rsidRDefault="006024F3" w:rsidP="006024F3">
      <w:pPr>
        <w:spacing w:line="360" w:lineRule="auto"/>
        <w:ind w:firstLine="488"/>
        <w:jc w:val="both"/>
        <w:rPr>
          <w:snapToGrid w:val="0"/>
          <w:sz w:val="28"/>
        </w:rPr>
      </w:pPr>
      <w:r w:rsidRPr="00445F5B">
        <w:rPr>
          <w:snapToGrid w:val="0"/>
          <w:sz w:val="28"/>
        </w:rPr>
        <w:t>Практической основой работы являются регистры синтетического и анал</w:t>
      </w:r>
      <w:r w:rsidRPr="00445F5B">
        <w:rPr>
          <w:snapToGrid w:val="0"/>
          <w:sz w:val="28"/>
        </w:rPr>
        <w:t>и</w:t>
      </w:r>
      <w:r w:rsidRPr="00445F5B">
        <w:rPr>
          <w:snapToGrid w:val="0"/>
          <w:sz w:val="28"/>
        </w:rPr>
        <w:t>тического учета, бухгалтерская, статистическая и налоговая отчетность, уче</w:t>
      </w:r>
      <w:r w:rsidRPr="00445F5B">
        <w:rPr>
          <w:snapToGrid w:val="0"/>
          <w:sz w:val="28"/>
        </w:rPr>
        <w:t>т</w:t>
      </w:r>
      <w:r w:rsidRPr="00445F5B">
        <w:rPr>
          <w:snapToGrid w:val="0"/>
          <w:sz w:val="28"/>
        </w:rPr>
        <w:t>ная политика</w:t>
      </w:r>
      <w:r w:rsidRPr="00445F5B">
        <w:rPr>
          <w:bCs/>
          <w:sz w:val="28"/>
          <w:szCs w:val="28"/>
        </w:rPr>
        <w:t xml:space="preserve"> АНО «</w:t>
      </w:r>
      <w:bookmarkStart w:id="1" w:name="_GoBack"/>
      <w:bookmarkEnd w:id="1"/>
      <w:r w:rsidRPr="00445F5B">
        <w:rPr>
          <w:bCs/>
          <w:sz w:val="28"/>
          <w:szCs w:val="28"/>
        </w:rPr>
        <w:t xml:space="preserve">» </w:t>
      </w:r>
      <w:r w:rsidRPr="00445F5B">
        <w:rPr>
          <w:sz w:val="28"/>
          <w:szCs w:val="28"/>
        </w:rPr>
        <w:t xml:space="preserve"> </w:t>
      </w:r>
      <w:r w:rsidRPr="00445F5B">
        <w:rPr>
          <w:bCs/>
          <w:sz w:val="28"/>
          <w:szCs w:val="28"/>
        </w:rPr>
        <w:t xml:space="preserve"> за  </w:t>
      </w:r>
      <w:smartTag w:uri="urn:schemas-microsoft-com:office:smarttags" w:element="metricconverter">
        <w:smartTagPr>
          <w:attr w:name="ProductID" w:val="2007 г"/>
        </w:smartTagPr>
        <w:r w:rsidRPr="00445F5B">
          <w:rPr>
            <w:bCs/>
            <w:sz w:val="28"/>
            <w:szCs w:val="28"/>
          </w:rPr>
          <w:t>2007 г</w:t>
        </w:r>
      </w:smartTag>
      <w:r w:rsidRPr="00445F5B">
        <w:rPr>
          <w:snapToGrid w:val="0"/>
          <w:sz w:val="28"/>
        </w:rPr>
        <w:t>.</w:t>
      </w:r>
    </w:p>
    <w:p w:rsidR="006024F3" w:rsidRPr="00445F5B" w:rsidRDefault="006024F3" w:rsidP="006024F3">
      <w:pPr>
        <w:pStyle w:val="a4"/>
        <w:jc w:val="both"/>
      </w:pPr>
      <w:r w:rsidRPr="00445F5B">
        <w:t xml:space="preserve">         Структурно выпускная квалификационная работа состоит из трех глав.  В первой главе  рассмотрены теоретические основы аудита основных средств: д</w:t>
      </w:r>
      <w:r w:rsidRPr="00445F5B">
        <w:t>а</w:t>
      </w:r>
      <w:r w:rsidRPr="00445F5B">
        <w:t>но понятие основных средств и их амортизации, рассмотрен порядок оценки основных средств, из</w:t>
      </w:r>
      <w:r w:rsidRPr="00445F5B">
        <w:t>у</w:t>
      </w:r>
      <w:r w:rsidRPr="00445F5B">
        <w:t>чены цели, задачи и методы аудита основных средств.</w:t>
      </w:r>
    </w:p>
    <w:p w:rsidR="006024F3" w:rsidRPr="00445F5B" w:rsidRDefault="006024F3" w:rsidP="006024F3">
      <w:pPr>
        <w:pStyle w:val="a4"/>
        <w:jc w:val="both"/>
      </w:pPr>
      <w:r w:rsidRPr="00445F5B">
        <w:t xml:space="preserve">         Вторая глава посвящена подготовке к проведению аудита основных средств. Был осуществлен сбор общих сведений о предприятии, рассмотрено состояние бухгалтерского учета и внутреннего контроля основных средств, с</w:t>
      </w:r>
      <w:r w:rsidRPr="00445F5B">
        <w:t>о</w:t>
      </w:r>
      <w:r w:rsidRPr="00445F5B">
        <w:t>ставлен общий план и программа аудита.</w:t>
      </w:r>
    </w:p>
    <w:p w:rsidR="006024F3" w:rsidRPr="00445F5B" w:rsidRDefault="006024F3" w:rsidP="006024F3">
      <w:pPr>
        <w:pStyle w:val="a4"/>
        <w:jc w:val="both"/>
      </w:pPr>
      <w:r w:rsidRPr="00445F5B">
        <w:t xml:space="preserve">         </w:t>
      </w:r>
      <w:proofErr w:type="gramStart"/>
      <w:r w:rsidRPr="00445F5B">
        <w:t>В</w:t>
      </w:r>
      <w:proofErr w:type="gramEnd"/>
      <w:r w:rsidRPr="00445F5B">
        <w:t xml:space="preserve"> </w:t>
      </w:r>
      <w:proofErr w:type="gramStart"/>
      <w:r w:rsidRPr="00445F5B">
        <w:t>третей</w:t>
      </w:r>
      <w:proofErr w:type="gramEnd"/>
      <w:r w:rsidRPr="00445F5B">
        <w:t xml:space="preserve"> главе была разработана и применена на практике методика ауд</w:t>
      </w:r>
      <w:r w:rsidRPr="00445F5B">
        <w:t>и</w:t>
      </w:r>
      <w:r w:rsidRPr="00445F5B">
        <w:t>торской проверки основных средств, были обобщены ее результаты и по итогам проверки было составлено аудиторское заключение.</w:t>
      </w:r>
    </w:p>
    <w:p w:rsidR="00382677" w:rsidRDefault="00382677"/>
    <w:sectPr w:rsidR="003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09"/>
    <w:rsid w:val="00351109"/>
    <w:rsid w:val="00382677"/>
    <w:rsid w:val="006024F3"/>
    <w:rsid w:val="00D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4F3"/>
    <w:pPr>
      <w:keepNext/>
      <w:suppressAutoHyphens/>
      <w:spacing w:before="240" w:after="60" w:line="360" w:lineRule="auto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4F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rsid w:val="006024F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024F3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6024F3"/>
    <w:pPr>
      <w:spacing w:line="360" w:lineRule="auto"/>
      <w:ind w:left="240"/>
      <w:jc w:val="both"/>
    </w:pPr>
    <w:rPr>
      <w:sz w:val="28"/>
    </w:rPr>
  </w:style>
  <w:style w:type="paragraph" w:styleId="a4">
    <w:name w:val="Body Text"/>
    <w:basedOn w:val="a"/>
    <w:link w:val="a5"/>
    <w:rsid w:val="006024F3"/>
    <w:pPr>
      <w:spacing w:line="360" w:lineRule="auto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0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6024F3"/>
    <w:pPr>
      <w:tabs>
        <w:tab w:val="left" w:pos="1701"/>
      </w:tabs>
      <w:spacing w:line="360" w:lineRule="auto"/>
      <w:ind w:left="1701"/>
    </w:pPr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6024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4F3"/>
    <w:pPr>
      <w:keepNext/>
      <w:suppressAutoHyphens/>
      <w:spacing w:before="240" w:after="60" w:line="360" w:lineRule="auto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4F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rsid w:val="006024F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024F3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6024F3"/>
    <w:pPr>
      <w:spacing w:line="360" w:lineRule="auto"/>
      <w:ind w:left="240"/>
      <w:jc w:val="both"/>
    </w:pPr>
    <w:rPr>
      <w:sz w:val="28"/>
    </w:rPr>
  </w:style>
  <w:style w:type="paragraph" w:styleId="a4">
    <w:name w:val="Body Text"/>
    <w:basedOn w:val="a"/>
    <w:link w:val="a5"/>
    <w:rsid w:val="006024F3"/>
    <w:pPr>
      <w:spacing w:line="360" w:lineRule="auto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0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6024F3"/>
    <w:pPr>
      <w:tabs>
        <w:tab w:val="left" w:pos="1701"/>
      </w:tabs>
      <w:spacing w:line="360" w:lineRule="auto"/>
      <w:ind w:left="1701"/>
    </w:pPr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6024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2013-02-15T08:53:00Z</dcterms:created>
  <dcterms:modified xsi:type="dcterms:W3CDTF">2013-02-15T08:55:00Z</dcterms:modified>
</cp:coreProperties>
</file>